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宋体" w:hAnsi="宋体" w:eastAsia="宋体" w:cs="宋体"/>
          <w:b/>
          <w:bCs/>
          <w:color w:val="000000"/>
          <w:kern w:val="1"/>
          <w:sz w:val="36"/>
          <w:szCs w:val="36"/>
          <w:lang w:val="en-US" w:eastAsia="zh-CN" w:bidi="ar-SA"/>
        </w:rPr>
      </w:pPr>
      <w:r>
        <w:rPr>
          <w:rFonts w:hint="eastAsia" w:ascii="宋体" w:hAnsi="宋体" w:cs="宋体"/>
          <w:b/>
          <w:bCs/>
          <w:color w:val="000000"/>
          <w:kern w:val="1"/>
          <w:sz w:val="36"/>
          <w:szCs w:val="36"/>
          <w:lang w:val="en-US" w:eastAsia="zh-CN" w:bidi="ar-SA"/>
        </w:rPr>
        <w:t>广西水利电力职业技术学院消杀参数及清单</w:t>
      </w:r>
    </w:p>
    <w:p>
      <w:pPr>
        <w:pStyle w:val="2"/>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一、技术参数：</w:t>
      </w:r>
      <w:bookmarkStart w:id="0" w:name="_GoBack"/>
      <w:bookmarkEnd w:id="0"/>
    </w:p>
    <w:tbl>
      <w:tblPr>
        <w:tblStyle w:val="4"/>
        <w:tblW w:w="8094" w:type="dxa"/>
        <w:jc w:val="center"/>
        <w:tblLayout w:type="autofit"/>
        <w:tblCellMar>
          <w:top w:w="0" w:type="dxa"/>
          <w:left w:w="108" w:type="dxa"/>
          <w:bottom w:w="0" w:type="dxa"/>
          <w:right w:w="108" w:type="dxa"/>
        </w:tblCellMar>
      </w:tblPr>
      <w:tblGrid>
        <w:gridCol w:w="1019"/>
        <w:gridCol w:w="1968"/>
        <w:gridCol w:w="3755"/>
        <w:gridCol w:w="1352"/>
      </w:tblGrid>
      <w:tr>
        <w:tblPrEx>
          <w:tblCellMar>
            <w:top w:w="0" w:type="dxa"/>
            <w:left w:w="108" w:type="dxa"/>
            <w:bottom w:w="0" w:type="dxa"/>
            <w:right w:w="108" w:type="dxa"/>
          </w:tblCellMar>
        </w:tblPrEx>
        <w:trPr>
          <w:trHeight w:val="451" w:hRule="atLeast"/>
          <w:jc w:val="center"/>
        </w:trPr>
        <w:tc>
          <w:tcPr>
            <w:tcW w:w="1019" w:type="dxa"/>
            <w:tcBorders>
              <w:top w:val="single" w:color="000000" w:sz="8" w:space="0"/>
              <w:left w:val="single" w:color="000000" w:sz="4" w:space="0"/>
              <w:bottom w:val="single" w:color="000000" w:sz="8" w:space="0"/>
              <w:right w:val="single" w:color="000000" w:sz="8" w:space="0"/>
            </w:tcBorders>
            <w:noWrap w:val="0"/>
            <w:vAlign w:val="center"/>
          </w:tcPr>
          <w:p>
            <w:pPr>
              <w:spacing w:line="360" w:lineRule="exact"/>
              <w:jc w:val="center"/>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名称</w:t>
            </w:r>
          </w:p>
        </w:tc>
        <w:tc>
          <w:tcPr>
            <w:tcW w:w="1968" w:type="dxa"/>
            <w:tcBorders>
              <w:top w:val="single" w:color="000000" w:sz="8" w:space="0"/>
              <w:left w:val="single" w:color="000000" w:sz="8" w:space="0"/>
              <w:bottom w:val="single" w:color="000000" w:sz="8" w:space="0"/>
              <w:right w:val="single" w:color="000000" w:sz="8" w:space="0"/>
            </w:tcBorders>
            <w:noWrap w:val="0"/>
            <w:vAlign w:val="center"/>
          </w:tcPr>
          <w:p>
            <w:pPr>
              <w:spacing w:line="360" w:lineRule="exact"/>
              <w:jc w:val="center"/>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药械名称/规格</w:t>
            </w:r>
          </w:p>
        </w:tc>
        <w:tc>
          <w:tcPr>
            <w:tcW w:w="3755" w:type="dxa"/>
            <w:tcBorders>
              <w:top w:val="single" w:color="000000" w:sz="8" w:space="0"/>
              <w:left w:val="single" w:color="000000" w:sz="8" w:space="0"/>
              <w:bottom w:val="single" w:color="000000" w:sz="8" w:space="0"/>
              <w:right w:val="single" w:color="000000" w:sz="8" w:space="0"/>
            </w:tcBorders>
            <w:noWrap w:val="0"/>
            <w:vAlign w:val="center"/>
          </w:tcPr>
          <w:p>
            <w:pPr>
              <w:spacing w:line="360" w:lineRule="exact"/>
              <w:jc w:val="center"/>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详细技术参数及相关要求</w:t>
            </w:r>
          </w:p>
        </w:tc>
        <w:tc>
          <w:tcPr>
            <w:tcW w:w="1352" w:type="dxa"/>
            <w:tcBorders>
              <w:top w:val="single" w:color="000000" w:sz="8" w:space="0"/>
              <w:left w:val="single" w:color="000000" w:sz="8" w:space="0"/>
              <w:bottom w:val="single" w:color="000000" w:sz="8" w:space="0"/>
              <w:right w:val="single" w:color="000000" w:sz="8" w:space="0"/>
            </w:tcBorders>
            <w:noWrap w:val="0"/>
            <w:vAlign w:val="center"/>
          </w:tcPr>
          <w:p>
            <w:pPr>
              <w:spacing w:line="360" w:lineRule="exact"/>
              <w:jc w:val="center"/>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数量</w:t>
            </w:r>
          </w:p>
        </w:tc>
      </w:tr>
      <w:tr>
        <w:tblPrEx>
          <w:tblCellMar>
            <w:top w:w="0" w:type="dxa"/>
            <w:left w:w="108" w:type="dxa"/>
            <w:bottom w:w="0" w:type="dxa"/>
            <w:right w:w="108" w:type="dxa"/>
          </w:tblCellMar>
        </w:tblPrEx>
        <w:trPr>
          <w:trHeight w:val="1651" w:hRule="atLeast"/>
          <w:jc w:val="center"/>
        </w:trPr>
        <w:tc>
          <w:tcPr>
            <w:tcW w:w="1019" w:type="dxa"/>
            <w:vMerge w:val="restart"/>
            <w:tcBorders>
              <w:top w:val="single" w:color="000000" w:sz="8" w:space="0"/>
              <w:left w:val="single" w:color="000000" w:sz="4" w:space="0"/>
              <w:bottom w:val="single" w:color="000000" w:sz="8" w:space="0"/>
              <w:right w:val="single" w:color="000000" w:sz="8" w:space="0"/>
            </w:tcBorders>
            <w:noWrap w:val="0"/>
            <w:vAlign w:val="center"/>
          </w:tcPr>
          <w:p>
            <w:pPr>
              <w:spacing w:line="360" w:lineRule="exact"/>
              <w:jc w:val="center"/>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白蚁</w:t>
            </w:r>
          </w:p>
        </w:tc>
        <w:tc>
          <w:tcPr>
            <w:tcW w:w="1968" w:type="dxa"/>
            <w:tcBorders>
              <w:top w:val="single" w:color="000000" w:sz="8" w:space="0"/>
              <w:left w:val="single" w:color="000000" w:sz="8" w:space="0"/>
              <w:bottom w:val="single" w:color="000000" w:sz="4" w:space="0"/>
              <w:right w:val="single" w:color="000000" w:sz="8" w:space="0"/>
            </w:tcBorders>
            <w:noWrap w:val="0"/>
            <w:vAlign w:val="center"/>
          </w:tcPr>
          <w:p>
            <w:pPr>
              <w:spacing w:line="360" w:lineRule="exact"/>
              <w:jc w:val="left"/>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悬浮剂/500ml/瓶</w:t>
            </w:r>
          </w:p>
        </w:tc>
        <w:tc>
          <w:tcPr>
            <w:tcW w:w="3755" w:type="dxa"/>
            <w:tcBorders>
              <w:top w:val="single" w:color="000000" w:sz="8" w:space="0"/>
              <w:left w:val="single" w:color="000000" w:sz="8" w:space="0"/>
              <w:bottom w:val="single" w:color="000000" w:sz="4" w:space="0"/>
              <w:right w:val="single" w:color="000000" w:sz="8" w:space="0"/>
            </w:tcBorders>
            <w:noWrap w:val="0"/>
            <w:vAlign w:val="center"/>
          </w:tcPr>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有效成份：联苯菊酯</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含    量：≥5%</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剂    型：悬浮剂</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规    格：500ml/瓶</w:t>
            </w:r>
          </w:p>
          <w:p>
            <w:pPr>
              <w:spacing w:line="360" w:lineRule="exact"/>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农药类别：卫生杀虫剂</w:t>
            </w:r>
          </w:p>
        </w:tc>
        <w:tc>
          <w:tcPr>
            <w:tcW w:w="1352" w:type="dxa"/>
            <w:tcBorders>
              <w:top w:val="single" w:color="000000" w:sz="8" w:space="0"/>
              <w:left w:val="single" w:color="000000" w:sz="8" w:space="0"/>
              <w:bottom w:val="single" w:color="000000" w:sz="4" w:space="0"/>
              <w:right w:val="single" w:color="000000" w:sz="8" w:space="0"/>
            </w:tcBorders>
            <w:noWrap w:val="0"/>
            <w:vAlign w:val="center"/>
          </w:tcPr>
          <w:p>
            <w:pPr>
              <w:spacing w:line="360" w:lineRule="exact"/>
              <w:jc w:val="center"/>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106瓶</w:t>
            </w:r>
          </w:p>
        </w:tc>
      </w:tr>
      <w:tr>
        <w:tblPrEx>
          <w:tblCellMar>
            <w:top w:w="0" w:type="dxa"/>
            <w:left w:w="108" w:type="dxa"/>
            <w:bottom w:w="0" w:type="dxa"/>
            <w:right w:w="108" w:type="dxa"/>
          </w:tblCellMar>
        </w:tblPrEx>
        <w:trPr>
          <w:trHeight w:val="1627" w:hRule="atLeast"/>
          <w:jc w:val="center"/>
        </w:trPr>
        <w:tc>
          <w:tcPr>
            <w:tcW w:w="1019" w:type="dxa"/>
            <w:vMerge w:val="continue"/>
            <w:tcBorders>
              <w:top w:val="single" w:color="000000" w:sz="8" w:space="0"/>
              <w:left w:val="single" w:color="000000" w:sz="4" w:space="0"/>
              <w:bottom w:val="single" w:color="000000" w:sz="8" w:space="0"/>
              <w:right w:val="single" w:color="000000" w:sz="8" w:space="0"/>
            </w:tcBorders>
            <w:noWrap w:val="0"/>
            <w:vAlign w:val="center"/>
          </w:tcPr>
          <w:p>
            <w:pPr>
              <w:jc w:val="left"/>
              <w:rPr>
                <w:rFonts w:hint="eastAsia" w:ascii="仿宋" w:hAnsi="仿宋" w:eastAsia="仿宋" w:cs="仿宋"/>
                <w:i w:val="0"/>
                <w:iCs w:val="0"/>
                <w:caps w:val="0"/>
                <w:color w:val="000000"/>
                <w:spacing w:val="0"/>
                <w:kern w:val="0"/>
                <w:sz w:val="28"/>
                <w:szCs w:val="28"/>
                <w:shd w:val="clear" w:fill="FFFFFF"/>
                <w:lang w:val="en-US" w:eastAsia="zh-CN" w:bidi="ar"/>
              </w:rPr>
            </w:pPr>
          </w:p>
        </w:tc>
        <w:tc>
          <w:tcPr>
            <w:tcW w:w="1968" w:type="dxa"/>
            <w:tcBorders>
              <w:top w:val="single" w:color="000000" w:sz="8" w:space="0"/>
              <w:left w:val="single" w:color="000000" w:sz="8" w:space="0"/>
              <w:bottom w:val="single" w:color="000000" w:sz="8" w:space="0"/>
              <w:right w:val="single" w:color="000000" w:sz="8" w:space="0"/>
            </w:tcBorders>
            <w:noWrap w:val="0"/>
            <w:vAlign w:val="center"/>
          </w:tcPr>
          <w:p>
            <w:pPr>
              <w:spacing w:line="500" w:lineRule="atLeast"/>
              <w:jc w:val="left"/>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粉剂/70g/瓶</w:t>
            </w:r>
          </w:p>
        </w:tc>
        <w:tc>
          <w:tcPr>
            <w:tcW w:w="3755" w:type="dxa"/>
            <w:tcBorders>
              <w:top w:val="single" w:color="000000" w:sz="8" w:space="0"/>
              <w:left w:val="single" w:color="000000" w:sz="8" w:space="0"/>
              <w:bottom w:val="single" w:color="000000" w:sz="8" w:space="0"/>
              <w:right w:val="single" w:color="000000" w:sz="4" w:space="0"/>
            </w:tcBorders>
            <w:noWrap w:val="0"/>
            <w:vAlign w:val="center"/>
          </w:tcPr>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有效成份：氟虫腈</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含    量：≥0.5%</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剂    型：粉剂</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规    格：60克/瓶</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农药类别：卫生杀虫剂</w:t>
            </w:r>
          </w:p>
        </w:tc>
        <w:tc>
          <w:tcPr>
            <w:tcW w:w="1352" w:type="dxa"/>
            <w:tcBorders>
              <w:top w:val="single" w:color="000000" w:sz="8" w:space="0"/>
              <w:left w:val="single" w:color="000000" w:sz="8" w:space="0"/>
              <w:bottom w:val="single" w:color="000000" w:sz="8" w:space="0"/>
              <w:right w:val="single" w:color="000000" w:sz="4" w:space="0"/>
            </w:tcBorders>
            <w:noWrap w:val="0"/>
            <w:vAlign w:val="center"/>
          </w:tcPr>
          <w:p>
            <w:pPr>
              <w:spacing w:line="360" w:lineRule="exact"/>
              <w:jc w:val="center"/>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80瓶</w:t>
            </w:r>
          </w:p>
        </w:tc>
      </w:tr>
      <w:tr>
        <w:tblPrEx>
          <w:tblCellMar>
            <w:top w:w="0" w:type="dxa"/>
            <w:left w:w="108" w:type="dxa"/>
            <w:bottom w:w="0" w:type="dxa"/>
            <w:right w:w="108" w:type="dxa"/>
          </w:tblCellMar>
        </w:tblPrEx>
        <w:trPr>
          <w:trHeight w:val="1694" w:hRule="atLeast"/>
          <w:jc w:val="center"/>
        </w:trPr>
        <w:tc>
          <w:tcPr>
            <w:tcW w:w="1019" w:type="dxa"/>
            <w:vMerge w:val="restart"/>
            <w:tcBorders>
              <w:top w:val="single" w:color="000000" w:sz="4" w:space="0"/>
              <w:left w:val="single" w:color="000000" w:sz="4" w:space="0"/>
              <w:bottom w:val="single" w:color="000000" w:sz="8" w:space="0"/>
              <w:right w:val="single" w:color="000000" w:sz="8" w:space="0"/>
            </w:tcBorders>
            <w:noWrap w:val="0"/>
            <w:vAlign w:val="center"/>
          </w:tcPr>
          <w:p>
            <w:pPr>
              <w:spacing w:line="360" w:lineRule="exact"/>
              <w:jc w:val="center"/>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红火蚁</w:t>
            </w:r>
          </w:p>
        </w:tc>
        <w:tc>
          <w:tcPr>
            <w:tcW w:w="1968" w:type="dxa"/>
            <w:tcBorders>
              <w:top w:val="single" w:color="000000" w:sz="4" w:space="0"/>
              <w:left w:val="single" w:color="000000" w:sz="8" w:space="0"/>
              <w:bottom w:val="single" w:color="000000" w:sz="4" w:space="0"/>
              <w:right w:val="single" w:color="000000" w:sz="8" w:space="0"/>
            </w:tcBorders>
            <w:noWrap w:val="0"/>
            <w:vAlign w:val="center"/>
          </w:tcPr>
          <w:p>
            <w:pPr>
              <w:spacing w:line="360" w:lineRule="exact"/>
              <w:jc w:val="left"/>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灭蚁饵剂/100g/包</w:t>
            </w:r>
          </w:p>
        </w:tc>
        <w:tc>
          <w:tcPr>
            <w:tcW w:w="3755" w:type="dxa"/>
            <w:tcBorders>
              <w:top w:val="single" w:color="000000" w:sz="8" w:space="0"/>
              <w:left w:val="single" w:color="000000" w:sz="8" w:space="0"/>
              <w:bottom w:val="single" w:color="000000" w:sz="4" w:space="0"/>
              <w:right w:val="single" w:color="000000" w:sz="8" w:space="0"/>
            </w:tcBorders>
            <w:noWrap w:val="0"/>
            <w:vAlign w:val="center"/>
          </w:tcPr>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 xml:space="preserve">有效成份：茚虫威饵剂 </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含    量：≥0.045%</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剂    型：杀虫颗粒剂</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规    格：500克/袋</w:t>
            </w:r>
          </w:p>
          <w:p>
            <w:pPr>
              <w:spacing w:line="360" w:lineRule="exact"/>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农药类别：卫生杀虫剂</w:t>
            </w:r>
          </w:p>
        </w:tc>
        <w:tc>
          <w:tcPr>
            <w:tcW w:w="1352" w:type="dxa"/>
            <w:tcBorders>
              <w:top w:val="single" w:color="000000" w:sz="8" w:space="0"/>
              <w:left w:val="single" w:color="000000" w:sz="8" w:space="0"/>
              <w:bottom w:val="single" w:color="000000" w:sz="4" w:space="0"/>
              <w:right w:val="single" w:color="000000" w:sz="8" w:space="0"/>
            </w:tcBorders>
            <w:noWrap w:val="0"/>
            <w:vAlign w:val="center"/>
          </w:tcPr>
          <w:p>
            <w:pPr>
              <w:spacing w:line="360" w:lineRule="exact"/>
              <w:jc w:val="center"/>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200包</w:t>
            </w:r>
          </w:p>
        </w:tc>
      </w:tr>
      <w:tr>
        <w:tblPrEx>
          <w:tblCellMar>
            <w:top w:w="0" w:type="dxa"/>
            <w:left w:w="108" w:type="dxa"/>
            <w:bottom w:w="0" w:type="dxa"/>
            <w:right w:w="108" w:type="dxa"/>
          </w:tblCellMar>
        </w:tblPrEx>
        <w:trPr>
          <w:trHeight w:val="451" w:hRule="atLeast"/>
          <w:jc w:val="center"/>
        </w:trPr>
        <w:tc>
          <w:tcPr>
            <w:tcW w:w="1019" w:type="dxa"/>
            <w:vMerge w:val="continue"/>
            <w:tcBorders>
              <w:top w:val="single" w:color="000000" w:sz="8" w:space="0"/>
              <w:left w:val="single" w:color="000000" w:sz="4" w:space="0"/>
              <w:bottom w:val="single" w:color="000000" w:sz="8" w:space="0"/>
              <w:right w:val="single" w:color="000000" w:sz="8" w:space="0"/>
            </w:tcBorders>
            <w:noWrap w:val="0"/>
            <w:vAlign w:val="center"/>
          </w:tcPr>
          <w:p>
            <w:pPr>
              <w:jc w:val="left"/>
              <w:rPr>
                <w:rFonts w:hint="eastAsia" w:ascii="仿宋" w:hAnsi="仿宋" w:eastAsia="仿宋" w:cs="仿宋"/>
                <w:i w:val="0"/>
                <w:iCs w:val="0"/>
                <w:caps w:val="0"/>
                <w:color w:val="000000"/>
                <w:spacing w:val="0"/>
                <w:kern w:val="0"/>
                <w:sz w:val="28"/>
                <w:szCs w:val="28"/>
                <w:shd w:val="clear" w:fill="FFFFFF"/>
                <w:lang w:val="en-US" w:eastAsia="zh-CN" w:bidi="ar"/>
              </w:rPr>
            </w:pPr>
          </w:p>
        </w:tc>
        <w:tc>
          <w:tcPr>
            <w:tcW w:w="1968" w:type="dxa"/>
            <w:tcBorders>
              <w:top w:val="single" w:color="000000" w:sz="4" w:space="0"/>
              <w:left w:val="single" w:color="000000" w:sz="8" w:space="0"/>
              <w:bottom w:val="single" w:color="000000" w:sz="4" w:space="0"/>
              <w:right w:val="single" w:color="000000" w:sz="8" w:space="0"/>
            </w:tcBorders>
            <w:noWrap w:val="0"/>
            <w:vAlign w:val="center"/>
          </w:tcPr>
          <w:p>
            <w:pPr>
              <w:spacing w:line="360" w:lineRule="exact"/>
              <w:jc w:val="left"/>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灭蚁粉剂/100g/包</w:t>
            </w:r>
          </w:p>
        </w:tc>
        <w:tc>
          <w:tcPr>
            <w:tcW w:w="3755" w:type="dxa"/>
            <w:tcBorders>
              <w:top w:val="single" w:color="000000" w:sz="4" w:space="0"/>
              <w:left w:val="single" w:color="000000" w:sz="8" w:space="0"/>
              <w:bottom w:val="single" w:color="000000" w:sz="4" w:space="0"/>
              <w:right w:val="single" w:color="000000" w:sz="8" w:space="0"/>
            </w:tcBorders>
            <w:noWrap w:val="0"/>
            <w:vAlign w:val="center"/>
          </w:tcPr>
          <w:p>
            <w:pPr>
              <w:widowControl/>
              <w:tabs>
                <w:tab w:val="left" w:pos="7665"/>
              </w:tabs>
              <w:spacing w:line="240" w:lineRule="auto"/>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有效成份：高氯·残杀威粉剂</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含    量：≥10%</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剂    型：粉剂</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规    格：500克/袋</w:t>
            </w:r>
          </w:p>
          <w:p>
            <w:pPr>
              <w:spacing w:line="360" w:lineRule="exact"/>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农药类别：卫生杀虫剂</w:t>
            </w:r>
          </w:p>
        </w:tc>
        <w:tc>
          <w:tcPr>
            <w:tcW w:w="1352" w:type="dxa"/>
            <w:tcBorders>
              <w:top w:val="single" w:color="000000" w:sz="4" w:space="0"/>
              <w:left w:val="single" w:color="000000" w:sz="8" w:space="0"/>
              <w:bottom w:val="single" w:color="000000" w:sz="4" w:space="0"/>
              <w:right w:val="single" w:color="000000" w:sz="8" w:space="0"/>
            </w:tcBorders>
            <w:noWrap w:val="0"/>
            <w:vAlign w:val="center"/>
          </w:tcPr>
          <w:p>
            <w:pPr>
              <w:spacing w:line="360" w:lineRule="exact"/>
              <w:jc w:val="center"/>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120包</w:t>
            </w:r>
          </w:p>
        </w:tc>
      </w:tr>
      <w:tr>
        <w:tblPrEx>
          <w:tblCellMar>
            <w:top w:w="0" w:type="dxa"/>
            <w:left w:w="108" w:type="dxa"/>
            <w:bottom w:w="0" w:type="dxa"/>
            <w:right w:w="108" w:type="dxa"/>
          </w:tblCellMar>
        </w:tblPrEx>
        <w:trPr>
          <w:trHeight w:val="451" w:hRule="atLeast"/>
          <w:jc w:val="center"/>
        </w:trPr>
        <w:tc>
          <w:tcPr>
            <w:tcW w:w="1019" w:type="dxa"/>
            <w:tcBorders>
              <w:top w:val="single" w:color="000000" w:sz="8" w:space="0"/>
              <w:left w:val="single" w:color="000000" w:sz="4" w:space="0"/>
              <w:right w:val="single" w:color="000000" w:sz="8" w:space="0"/>
            </w:tcBorders>
            <w:noWrap w:val="0"/>
            <w:vAlign w:val="center"/>
          </w:tcPr>
          <w:p>
            <w:pPr>
              <w:jc w:val="center"/>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蟑螂</w:t>
            </w:r>
          </w:p>
        </w:tc>
        <w:tc>
          <w:tcPr>
            <w:tcW w:w="1968" w:type="dxa"/>
            <w:tcBorders>
              <w:top w:val="single" w:color="000000" w:sz="4" w:space="0"/>
              <w:left w:val="single" w:color="000000" w:sz="8" w:space="0"/>
              <w:bottom w:val="single" w:color="000000" w:sz="4" w:space="0"/>
              <w:right w:val="single" w:color="000000" w:sz="8" w:space="0"/>
            </w:tcBorders>
            <w:noWrap w:val="0"/>
            <w:vAlign w:val="center"/>
          </w:tcPr>
          <w:p>
            <w:pPr>
              <w:spacing w:line="360" w:lineRule="exact"/>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灭蟑药剂</w:t>
            </w:r>
          </w:p>
        </w:tc>
        <w:tc>
          <w:tcPr>
            <w:tcW w:w="3755" w:type="dxa"/>
            <w:tcBorders>
              <w:top w:val="single" w:color="000000" w:sz="4" w:space="0"/>
              <w:left w:val="single" w:color="000000" w:sz="8" w:space="0"/>
              <w:bottom w:val="single" w:color="000000" w:sz="4" w:space="0"/>
              <w:right w:val="single" w:color="000000" w:sz="8" w:space="0"/>
            </w:tcBorders>
            <w:noWrap w:val="0"/>
            <w:vAlign w:val="center"/>
          </w:tcPr>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有效成份：残杀威</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含    量：≥20%</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剂    型：乳油</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规    格：500ml/瓶</w:t>
            </w:r>
          </w:p>
          <w:p>
            <w:pPr>
              <w:spacing w:line="360" w:lineRule="exact"/>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农药类别：卫生杀虫剂</w:t>
            </w:r>
          </w:p>
        </w:tc>
        <w:tc>
          <w:tcPr>
            <w:tcW w:w="1352" w:type="dxa"/>
            <w:tcBorders>
              <w:top w:val="single" w:color="000000" w:sz="4" w:space="0"/>
              <w:left w:val="single" w:color="000000" w:sz="8" w:space="0"/>
              <w:bottom w:val="single" w:color="000000" w:sz="4" w:space="0"/>
              <w:right w:val="single" w:color="000000" w:sz="8" w:space="0"/>
            </w:tcBorders>
            <w:noWrap w:val="0"/>
            <w:vAlign w:val="center"/>
          </w:tcPr>
          <w:p>
            <w:pPr>
              <w:spacing w:line="360" w:lineRule="exact"/>
              <w:jc w:val="center"/>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20瓶</w:t>
            </w:r>
          </w:p>
        </w:tc>
      </w:tr>
      <w:tr>
        <w:tblPrEx>
          <w:tblCellMar>
            <w:top w:w="0" w:type="dxa"/>
            <w:left w:w="108" w:type="dxa"/>
            <w:bottom w:w="0" w:type="dxa"/>
            <w:right w:w="108" w:type="dxa"/>
          </w:tblCellMar>
        </w:tblPrEx>
        <w:trPr>
          <w:trHeight w:val="451" w:hRule="atLeast"/>
          <w:jc w:val="center"/>
        </w:trPr>
        <w:tc>
          <w:tcPr>
            <w:tcW w:w="1019" w:type="dxa"/>
            <w:vMerge w:val="restart"/>
            <w:tcBorders>
              <w:top w:val="single" w:color="000000" w:sz="8" w:space="0"/>
              <w:left w:val="single" w:color="000000" w:sz="4" w:space="0"/>
              <w:right w:val="single" w:color="000000" w:sz="8" w:space="0"/>
            </w:tcBorders>
            <w:noWrap w:val="0"/>
            <w:vAlign w:val="center"/>
          </w:tcPr>
          <w:p>
            <w:pPr>
              <w:jc w:val="center"/>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蚊蝇</w:t>
            </w:r>
          </w:p>
        </w:tc>
        <w:tc>
          <w:tcPr>
            <w:tcW w:w="1968" w:type="dxa"/>
            <w:vMerge w:val="restart"/>
            <w:tcBorders>
              <w:top w:val="single" w:color="000000" w:sz="4" w:space="0"/>
              <w:left w:val="single" w:color="000000" w:sz="8" w:space="0"/>
              <w:right w:val="single" w:color="000000" w:sz="8" w:space="0"/>
            </w:tcBorders>
            <w:noWrap w:val="0"/>
            <w:vAlign w:val="center"/>
          </w:tcPr>
          <w:p>
            <w:pPr>
              <w:spacing w:line="360" w:lineRule="exact"/>
              <w:jc w:val="left"/>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灭蚊蝇药剂</w:t>
            </w:r>
          </w:p>
        </w:tc>
        <w:tc>
          <w:tcPr>
            <w:tcW w:w="3755" w:type="dxa"/>
            <w:tcBorders>
              <w:top w:val="single" w:color="000000" w:sz="4" w:space="0"/>
              <w:left w:val="single" w:color="000000" w:sz="8" w:space="0"/>
              <w:bottom w:val="single" w:color="000000" w:sz="4" w:space="0"/>
              <w:right w:val="single" w:color="000000" w:sz="8" w:space="0"/>
            </w:tcBorders>
            <w:noWrap w:val="0"/>
            <w:vAlign w:val="center"/>
          </w:tcPr>
          <w:p>
            <w:pPr>
              <w:widowControl/>
              <w:tabs>
                <w:tab w:val="left" w:pos="7665"/>
              </w:tabs>
              <w:spacing w:line="240" w:lineRule="auto"/>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有效成分：氯氟·吡虫啉</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含量：≥31%</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剂型：悬浮剂</w:t>
            </w:r>
          </w:p>
          <w:p>
            <w:pPr>
              <w:widowControl/>
              <w:tabs>
                <w:tab w:val="left" w:pos="7665"/>
              </w:tabs>
              <w:spacing w:line="240" w:lineRule="auto"/>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规格：500ml/瓶</w:t>
            </w:r>
          </w:p>
          <w:p>
            <w:pPr>
              <w:spacing w:line="360" w:lineRule="exact"/>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农药类别：卫生杀虫剂</w:t>
            </w:r>
          </w:p>
        </w:tc>
        <w:tc>
          <w:tcPr>
            <w:tcW w:w="1352" w:type="dxa"/>
            <w:tcBorders>
              <w:top w:val="single" w:color="000000" w:sz="4" w:space="0"/>
              <w:left w:val="single" w:color="000000" w:sz="8" w:space="0"/>
              <w:bottom w:val="single" w:color="000000" w:sz="4" w:space="0"/>
              <w:right w:val="single" w:color="000000" w:sz="8" w:space="0"/>
            </w:tcBorders>
            <w:noWrap w:val="0"/>
            <w:vAlign w:val="center"/>
          </w:tcPr>
          <w:p>
            <w:pPr>
              <w:spacing w:line="360" w:lineRule="exact"/>
              <w:jc w:val="center"/>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5瓶</w:t>
            </w:r>
          </w:p>
        </w:tc>
      </w:tr>
      <w:tr>
        <w:tblPrEx>
          <w:tblCellMar>
            <w:top w:w="0" w:type="dxa"/>
            <w:left w:w="108" w:type="dxa"/>
            <w:bottom w:w="0" w:type="dxa"/>
            <w:right w:w="108" w:type="dxa"/>
          </w:tblCellMar>
        </w:tblPrEx>
        <w:trPr>
          <w:trHeight w:val="451" w:hRule="atLeast"/>
          <w:jc w:val="center"/>
        </w:trPr>
        <w:tc>
          <w:tcPr>
            <w:tcW w:w="1019" w:type="dxa"/>
            <w:vMerge w:val="continue"/>
            <w:tcBorders>
              <w:left w:val="single" w:color="000000" w:sz="4" w:space="0"/>
              <w:right w:val="single" w:color="000000" w:sz="8" w:space="0"/>
            </w:tcBorders>
            <w:noWrap w:val="0"/>
            <w:vAlign w:val="center"/>
          </w:tcPr>
          <w:p>
            <w:pPr>
              <w:jc w:val="left"/>
              <w:rPr>
                <w:rFonts w:hint="eastAsia" w:ascii="仿宋" w:hAnsi="仿宋" w:eastAsia="仿宋" w:cs="仿宋"/>
                <w:i w:val="0"/>
                <w:iCs w:val="0"/>
                <w:caps w:val="0"/>
                <w:color w:val="000000"/>
                <w:spacing w:val="0"/>
                <w:kern w:val="0"/>
                <w:sz w:val="28"/>
                <w:szCs w:val="28"/>
                <w:shd w:val="clear" w:fill="FFFFFF"/>
                <w:lang w:val="en-US" w:eastAsia="zh-CN" w:bidi="ar"/>
              </w:rPr>
            </w:pPr>
          </w:p>
        </w:tc>
        <w:tc>
          <w:tcPr>
            <w:tcW w:w="1968" w:type="dxa"/>
            <w:vMerge w:val="continue"/>
            <w:tcBorders>
              <w:left w:val="single" w:color="000000" w:sz="8" w:space="0"/>
              <w:right w:val="single" w:color="000000" w:sz="8" w:space="0"/>
            </w:tcBorders>
            <w:noWrap w:val="0"/>
            <w:vAlign w:val="center"/>
          </w:tcPr>
          <w:p>
            <w:pPr>
              <w:spacing w:line="360" w:lineRule="exact"/>
              <w:jc w:val="left"/>
              <w:rPr>
                <w:rFonts w:hint="eastAsia" w:ascii="仿宋" w:hAnsi="仿宋" w:eastAsia="仿宋" w:cs="仿宋"/>
                <w:i w:val="0"/>
                <w:iCs w:val="0"/>
                <w:caps w:val="0"/>
                <w:color w:val="000000"/>
                <w:spacing w:val="0"/>
                <w:kern w:val="0"/>
                <w:sz w:val="28"/>
                <w:szCs w:val="28"/>
                <w:shd w:val="clear" w:fill="FFFFFF"/>
                <w:lang w:val="en-US" w:eastAsia="zh-CN" w:bidi="ar"/>
              </w:rPr>
            </w:pPr>
          </w:p>
        </w:tc>
        <w:tc>
          <w:tcPr>
            <w:tcW w:w="3755" w:type="dxa"/>
            <w:tcBorders>
              <w:top w:val="single" w:color="000000" w:sz="4" w:space="0"/>
              <w:left w:val="single" w:color="000000" w:sz="8" w:space="0"/>
              <w:bottom w:val="single" w:color="000000" w:sz="4" w:space="0"/>
              <w:right w:val="single" w:color="000000" w:sz="8" w:space="0"/>
            </w:tcBorders>
            <w:noWrap w:val="0"/>
            <w:vAlign w:val="center"/>
          </w:tcPr>
          <w:p>
            <w:pPr>
              <w:widowControl/>
              <w:tabs>
                <w:tab w:val="left" w:pos="7665"/>
              </w:tabs>
              <w:spacing w:line="240" w:lineRule="auto"/>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有效成份：高效氯氟氰菊酯</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含    量：≥10%</w:t>
            </w:r>
          </w:p>
          <w:p>
            <w:pPr>
              <w:widowControl/>
              <w:tabs>
                <w:tab w:val="left" w:pos="7665"/>
              </w:tabs>
              <w:spacing w:line="240" w:lineRule="auto"/>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剂    型：微囊悬浮剂</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规    格：500ml/瓶</w:t>
            </w:r>
          </w:p>
          <w:p>
            <w:pPr>
              <w:spacing w:line="360" w:lineRule="exact"/>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农药类别：卫生杀虫剂</w:t>
            </w:r>
          </w:p>
        </w:tc>
        <w:tc>
          <w:tcPr>
            <w:tcW w:w="1352" w:type="dxa"/>
            <w:tcBorders>
              <w:top w:val="single" w:color="000000" w:sz="4" w:space="0"/>
              <w:left w:val="single" w:color="000000" w:sz="8" w:space="0"/>
              <w:bottom w:val="single" w:color="000000" w:sz="4" w:space="0"/>
              <w:right w:val="single" w:color="000000" w:sz="8" w:space="0"/>
            </w:tcBorders>
            <w:noWrap w:val="0"/>
            <w:vAlign w:val="center"/>
          </w:tcPr>
          <w:p>
            <w:pPr>
              <w:spacing w:line="360" w:lineRule="exact"/>
              <w:jc w:val="center"/>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30瓶</w:t>
            </w:r>
          </w:p>
        </w:tc>
      </w:tr>
      <w:tr>
        <w:tblPrEx>
          <w:tblCellMar>
            <w:top w:w="0" w:type="dxa"/>
            <w:left w:w="108" w:type="dxa"/>
            <w:bottom w:w="0" w:type="dxa"/>
            <w:right w:w="108" w:type="dxa"/>
          </w:tblCellMar>
        </w:tblPrEx>
        <w:trPr>
          <w:trHeight w:val="1089" w:hRule="atLeast"/>
          <w:jc w:val="center"/>
        </w:trPr>
        <w:tc>
          <w:tcPr>
            <w:tcW w:w="1019" w:type="dxa"/>
            <w:vMerge w:val="continue"/>
            <w:tcBorders>
              <w:left w:val="single" w:color="000000" w:sz="4" w:space="0"/>
              <w:bottom w:val="single" w:color="000000" w:sz="8" w:space="0"/>
              <w:right w:val="single" w:color="000000" w:sz="8" w:space="0"/>
            </w:tcBorders>
            <w:noWrap w:val="0"/>
            <w:vAlign w:val="center"/>
          </w:tcPr>
          <w:p>
            <w:pPr>
              <w:jc w:val="left"/>
              <w:rPr>
                <w:rFonts w:hint="eastAsia" w:ascii="仿宋" w:hAnsi="仿宋" w:eastAsia="仿宋" w:cs="仿宋"/>
                <w:i w:val="0"/>
                <w:iCs w:val="0"/>
                <w:caps w:val="0"/>
                <w:color w:val="000000"/>
                <w:spacing w:val="0"/>
                <w:kern w:val="0"/>
                <w:sz w:val="28"/>
                <w:szCs w:val="28"/>
                <w:shd w:val="clear" w:fill="FFFFFF"/>
                <w:lang w:val="en-US" w:eastAsia="zh-CN" w:bidi="ar"/>
              </w:rPr>
            </w:pPr>
          </w:p>
        </w:tc>
        <w:tc>
          <w:tcPr>
            <w:tcW w:w="1968" w:type="dxa"/>
            <w:vMerge w:val="continue"/>
            <w:tcBorders>
              <w:left w:val="single" w:color="000000" w:sz="8" w:space="0"/>
              <w:bottom w:val="single" w:color="000000" w:sz="4" w:space="0"/>
              <w:right w:val="single" w:color="000000" w:sz="8" w:space="0"/>
            </w:tcBorders>
            <w:noWrap w:val="0"/>
            <w:vAlign w:val="center"/>
          </w:tcPr>
          <w:p>
            <w:pPr>
              <w:spacing w:line="360" w:lineRule="exact"/>
              <w:jc w:val="left"/>
              <w:rPr>
                <w:rFonts w:hint="default" w:ascii="仿宋" w:hAnsi="仿宋" w:eastAsia="仿宋" w:cs="仿宋"/>
                <w:i w:val="0"/>
                <w:iCs w:val="0"/>
                <w:caps w:val="0"/>
                <w:color w:val="000000"/>
                <w:spacing w:val="0"/>
                <w:kern w:val="0"/>
                <w:sz w:val="28"/>
                <w:szCs w:val="28"/>
                <w:shd w:val="clear" w:fill="FFFFFF"/>
                <w:lang w:val="en-US" w:eastAsia="zh-CN" w:bidi="ar"/>
              </w:rPr>
            </w:pPr>
          </w:p>
        </w:tc>
        <w:tc>
          <w:tcPr>
            <w:tcW w:w="3755" w:type="dxa"/>
            <w:tcBorders>
              <w:top w:val="single" w:color="000000" w:sz="4" w:space="0"/>
              <w:left w:val="single" w:color="000000" w:sz="8" w:space="0"/>
              <w:bottom w:val="single" w:color="000000" w:sz="4" w:space="0"/>
              <w:right w:val="single" w:color="000000" w:sz="8" w:space="0"/>
            </w:tcBorders>
            <w:noWrap w:val="0"/>
            <w:vAlign w:val="center"/>
          </w:tcPr>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有效成份：氟氯氰菊酯可湿性粉剂</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含    量：≥10%</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剂    型：可湿性粉剂</w:t>
            </w:r>
          </w:p>
          <w:p>
            <w:pPr>
              <w:widowControl/>
              <w:tabs>
                <w:tab w:val="left" w:pos="7665"/>
              </w:tabs>
              <w:spacing w:line="240" w:lineRule="auto"/>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规    格：50克/袋</w:t>
            </w:r>
          </w:p>
          <w:p>
            <w:pPr>
              <w:spacing w:line="360" w:lineRule="exact"/>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农药类别：卫生杀虫剂</w:t>
            </w:r>
          </w:p>
        </w:tc>
        <w:tc>
          <w:tcPr>
            <w:tcW w:w="1352" w:type="dxa"/>
            <w:tcBorders>
              <w:top w:val="single" w:color="000000" w:sz="4" w:space="0"/>
              <w:left w:val="single" w:color="000000" w:sz="8" w:space="0"/>
              <w:bottom w:val="single" w:color="000000" w:sz="4" w:space="0"/>
              <w:right w:val="single" w:color="000000" w:sz="8" w:space="0"/>
            </w:tcBorders>
            <w:noWrap w:val="0"/>
            <w:vAlign w:val="center"/>
          </w:tcPr>
          <w:p>
            <w:pPr>
              <w:spacing w:line="360" w:lineRule="exact"/>
              <w:jc w:val="center"/>
              <w:rPr>
                <w:rFonts w:hint="default"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200包</w:t>
            </w:r>
          </w:p>
        </w:tc>
      </w:tr>
    </w:tbl>
    <w:p>
      <w:pPr>
        <w:pStyle w:val="2"/>
        <w:spacing w:line="500" w:lineRule="atLeast"/>
        <w:ind w:firstLine="560" w:firstLineChars="200"/>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备注：（含白蚁红火蚁全年防治费用，老鼠、蚊蝇、蟑螂一年4次消杀费用及需包含“城市卫生虫害” 防制消杀所需的药物、材料、技术操作、人工、设备、管理、利润、税收及检测复查费用）。</w:t>
      </w:r>
    </w:p>
    <w:p>
      <w:pPr>
        <w:pStyle w:val="2"/>
        <w:numPr>
          <w:ilvl w:val="0"/>
          <w:numId w:val="1"/>
        </w:numPr>
        <w:spacing w:line="500" w:lineRule="atLeast"/>
        <w:ind w:firstLine="560" w:firstLineChars="200"/>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商务参数：</w:t>
      </w:r>
    </w:p>
    <w:p>
      <w:pPr>
        <w:pStyle w:val="2"/>
        <w:spacing w:line="500" w:lineRule="atLeast"/>
        <w:ind w:firstLine="560" w:firstLineChars="200"/>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1、在接到通知后，在 6 天内进场（规定日期），频次白蚁红火蚁每个月1次/月，全年12次，四害消杀每年4次，如有特殊情况响应紧急服务2小时内到达现场服务。</w:t>
      </w:r>
    </w:p>
    <w:p>
      <w:pPr>
        <w:pStyle w:val="2"/>
        <w:spacing w:line="500" w:lineRule="atLeast"/>
        <w:ind w:firstLine="560" w:firstLineChars="200"/>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2、付款方式：每季度支付一次。</w:t>
      </w:r>
    </w:p>
    <w:p>
      <w:pPr>
        <w:pStyle w:val="2"/>
        <w:spacing w:line="500" w:lineRule="atLeast"/>
        <w:ind w:firstLine="560" w:firstLineChars="200"/>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3、白蚁、红火蚁危害经防治后密度 下降 95%及以上，每半年提供防治监测数据报告一份。</w:t>
      </w:r>
    </w:p>
    <w:p>
      <w:pPr>
        <w:pStyle w:val="2"/>
        <w:spacing w:line="500" w:lineRule="atLeast"/>
        <w:ind w:firstLine="560" w:firstLineChars="200"/>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4、根据采购人长堽、里建两个校区校园范围内白蚁、红火蚁生态繁殖状况定期开展防治服务工作，服务期内每年不少于 12 次，白蚁、红火蚁危害经防治后密度下降95%及以上。</w:t>
      </w:r>
    </w:p>
    <w:p>
      <w:pPr>
        <w:pStyle w:val="2"/>
        <w:spacing w:line="500" w:lineRule="atLeast"/>
        <w:ind w:firstLine="560" w:firstLineChars="200"/>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5、防治工作服务期：签订合同之日起36个月。</w:t>
      </w:r>
    </w:p>
    <w:p>
      <w:pPr>
        <w:keepNext w:val="0"/>
        <w:keepLines w:val="0"/>
        <w:widowControl/>
        <w:suppressLineNumbers w:val="0"/>
        <w:shd w:val="clear" w:fill="FFFFFF"/>
        <w:spacing w:before="0" w:beforeAutospacing="0" w:after="150" w:afterAutospacing="0" w:line="500" w:lineRule="atLeast"/>
        <w:ind w:left="0" w:right="0" w:firstLine="532"/>
        <w:jc w:val="left"/>
        <w:rPr>
          <w:rFonts w:hint="eastAsia" w:ascii="宋体" w:hAnsi="宋体" w:eastAsia="宋体" w:cs="宋体"/>
          <w:i w:val="0"/>
          <w:iCs w:val="0"/>
          <w:caps w:val="0"/>
          <w:color w:val="000000"/>
          <w:spacing w:val="0"/>
          <w:sz w:val="14"/>
          <w:szCs w:val="14"/>
        </w:rPr>
      </w:pPr>
      <w:r>
        <w:rPr>
          <w:rFonts w:hint="eastAsia" w:ascii="仿宋" w:hAnsi="仿宋" w:eastAsia="仿宋" w:cs="仿宋"/>
          <w:i w:val="0"/>
          <w:iCs w:val="0"/>
          <w:caps w:val="0"/>
          <w:color w:val="000000"/>
          <w:spacing w:val="0"/>
          <w:kern w:val="0"/>
          <w:sz w:val="28"/>
          <w:szCs w:val="28"/>
          <w:shd w:val="clear" w:fill="FFFFFF"/>
          <w:lang w:val="en-US" w:eastAsia="zh-CN" w:bidi="ar"/>
        </w:rPr>
        <w:t>三、</w:t>
      </w:r>
      <w:r>
        <w:rPr>
          <w:rFonts w:ascii="仿宋" w:hAnsi="仿宋" w:eastAsia="仿宋" w:cs="仿宋"/>
          <w:i w:val="0"/>
          <w:iCs w:val="0"/>
          <w:caps w:val="0"/>
          <w:color w:val="000000"/>
          <w:spacing w:val="0"/>
          <w:kern w:val="0"/>
          <w:sz w:val="28"/>
          <w:szCs w:val="28"/>
          <w:shd w:val="clear" w:fill="FFFFFF"/>
          <w:lang w:val="en-US" w:eastAsia="zh-CN" w:bidi="ar"/>
        </w:rPr>
        <w:t>竞标文件编制要求：</w:t>
      </w:r>
    </w:p>
    <w:p>
      <w:pPr>
        <w:keepNext w:val="0"/>
        <w:keepLines w:val="0"/>
        <w:widowControl/>
        <w:suppressLineNumbers w:val="0"/>
        <w:shd w:val="clear" w:fill="FFFFFF"/>
        <w:spacing w:before="0" w:beforeAutospacing="0" w:after="150" w:afterAutospacing="0" w:line="500" w:lineRule="atLeast"/>
        <w:ind w:left="0" w:right="0" w:firstLine="532"/>
        <w:jc w:val="left"/>
        <w:rPr>
          <w:rFonts w:hint="eastAsia" w:ascii="宋体" w:hAnsi="宋体" w:eastAsia="宋体" w:cs="宋体"/>
          <w:i w:val="0"/>
          <w:iCs w:val="0"/>
          <w:caps w:val="0"/>
          <w:color w:val="000000"/>
          <w:spacing w:val="0"/>
          <w:sz w:val="14"/>
          <w:szCs w:val="14"/>
        </w:rPr>
      </w:pPr>
      <w:r>
        <w:rPr>
          <w:rFonts w:hint="eastAsia" w:ascii="仿宋" w:hAnsi="仿宋" w:eastAsia="仿宋" w:cs="仿宋"/>
          <w:i w:val="0"/>
          <w:iCs w:val="0"/>
          <w:caps w:val="0"/>
          <w:color w:val="000000"/>
          <w:spacing w:val="0"/>
          <w:kern w:val="0"/>
          <w:sz w:val="28"/>
          <w:szCs w:val="28"/>
          <w:shd w:val="clear" w:fill="FFFFFF"/>
          <w:lang w:val="en-US" w:eastAsia="zh-CN" w:bidi="ar"/>
        </w:rPr>
        <w:t>（1）项目报价表。</w:t>
      </w:r>
    </w:p>
    <w:p>
      <w:pPr>
        <w:keepNext w:val="0"/>
        <w:keepLines w:val="0"/>
        <w:widowControl/>
        <w:suppressLineNumbers w:val="0"/>
        <w:shd w:val="clear" w:fill="FFFFFF"/>
        <w:spacing w:before="0" w:beforeAutospacing="0" w:after="150" w:afterAutospacing="0" w:line="500" w:lineRule="atLeast"/>
        <w:ind w:left="0" w:right="0" w:firstLine="532"/>
        <w:jc w:val="left"/>
        <w:rPr>
          <w:rFonts w:hint="eastAsia" w:ascii="宋体" w:hAnsi="宋体" w:eastAsia="宋体" w:cs="宋体"/>
          <w:i w:val="0"/>
          <w:iCs w:val="0"/>
          <w:caps w:val="0"/>
          <w:color w:val="000000"/>
          <w:spacing w:val="0"/>
          <w:sz w:val="14"/>
          <w:szCs w:val="14"/>
        </w:rPr>
      </w:pPr>
      <w:r>
        <w:rPr>
          <w:rFonts w:hint="eastAsia" w:ascii="仿宋" w:hAnsi="仿宋" w:eastAsia="仿宋" w:cs="仿宋"/>
          <w:i w:val="0"/>
          <w:iCs w:val="0"/>
          <w:caps w:val="0"/>
          <w:color w:val="000000"/>
          <w:spacing w:val="0"/>
          <w:kern w:val="0"/>
          <w:sz w:val="28"/>
          <w:szCs w:val="28"/>
          <w:shd w:val="clear" w:fill="FFFFFF"/>
          <w:lang w:val="en-US" w:eastAsia="zh-CN" w:bidi="ar"/>
        </w:rPr>
        <w:t>（2）营业执照副本和有关资质证明复印件《有害生物防治服务企业资质证书》、《白蚁防治服务企业资质证书》、《ISO质量管理体系认证证书》、《ISO环境管理体系认证证书》《ISO职业健康管理体系认证证书》《危险化学品经营许可证》《南宁市病媒生物预防控制服务机构备案凭证》（必须提供）（加盖单位公章）；</w:t>
      </w:r>
    </w:p>
    <w:p>
      <w:pPr>
        <w:keepNext w:val="0"/>
        <w:keepLines w:val="0"/>
        <w:widowControl/>
        <w:suppressLineNumbers w:val="0"/>
        <w:shd w:val="clear" w:fill="FFFFFF"/>
        <w:spacing w:before="0" w:beforeAutospacing="0" w:after="150" w:afterAutospacing="0" w:line="500" w:lineRule="atLeast"/>
        <w:ind w:left="0" w:right="0" w:firstLine="532"/>
        <w:jc w:val="left"/>
        <w:rPr>
          <w:rFonts w:hint="eastAsia" w:ascii="宋体" w:hAnsi="宋体" w:eastAsia="宋体" w:cs="宋体"/>
          <w:i w:val="0"/>
          <w:iCs w:val="0"/>
          <w:caps w:val="0"/>
          <w:color w:val="000000"/>
          <w:spacing w:val="0"/>
          <w:sz w:val="14"/>
          <w:szCs w:val="14"/>
        </w:rPr>
      </w:pPr>
      <w:r>
        <w:rPr>
          <w:rFonts w:hint="eastAsia" w:ascii="仿宋" w:hAnsi="仿宋" w:eastAsia="仿宋" w:cs="仿宋"/>
          <w:i w:val="0"/>
          <w:iCs w:val="0"/>
          <w:caps w:val="0"/>
          <w:color w:val="000000"/>
          <w:spacing w:val="0"/>
          <w:kern w:val="0"/>
          <w:sz w:val="28"/>
          <w:szCs w:val="28"/>
          <w:shd w:val="clear" w:fill="FFFFFF"/>
          <w:lang w:val="en-US" w:eastAsia="zh-CN" w:bidi="ar"/>
        </w:rPr>
        <w:t>（3）法人委托授权书原件（格式自拟）；</w:t>
      </w:r>
    </w:p>
    <w:p>
      <w:pPr>
        <w:keepNext w:val="0"/>
        <w:keepLines w:val="0"/>
        <w:widowControl/>
        <w:suppressLineNumbers w:val="0"/>
        <w:shd w:val="clear" w:fill="FFFFFF"/>
        <w:spacing w:before="0" w:beforeAutospacing="0" w:after="150" w:afterAutospacing="0" w:line="500" w:lineRule="atLeast"/>
        <w:ind w:left="0" w:right="0" w:firstLine="532"/>
        <w:jc w:val="left"/>
        <w:rPr>
          <w:rFonts w:hint="eastAsia" w:ascii="宋体" w:hAnsi="宋体" w:eastAsia="宋体" w:cs="宋体"/>
          <w:i w:val="0"/>
          <w:iCs w:val="0"/>
          <w:caps w:val="0"/>
          <w:color w:val="000000"/>
          <w:spacing w:val="0"/>
          <w:sz w:val="14"/>
          <w:szCs w:val="14"/>
        </w:rPr>
      </w:pPr>
      <w:r>
        <w:rPr>
          <w:rFonts w:hint="eastAsia" w:ascii="仿宋" w:hAnsi="仿宋" w:eastAsia="仿宋" w:cs="仿宋"/>
          <w:i w:val="0"/>
          <w:iCs w:val="0"/>
          <w:caps w:val="0"/>
          <w:color w:val="000000"/>
          <w:spacing w:val="0"/>
          <w:kern w:val="0"/>
          <w:sz w:val="28"/>
          <w:szCs w:val="28"/>
          <w:shd w:val="clear" w:fill="FFFFFF"/>
          <w:lang w:val="en-US" w:eastAsia="zh-CN" w:bidi="ar"/>
        </w:rPr>
        <w:t>（4）技术、商务响应表；</w:t>
      </w:r>
    </w:p>
    <w:p>
      <w:pPr>
        <w:keepNext w:val="0"/>
        <w:keepLines w:val="0"/>
        <w:widowControl/>
        <w:suppressLineNumbers w:val="0"/>
        <w:shd w:val="clear" w:fill="FFFFFF"/>
        <w:spacing w:before="0" w:beforeAutospacing="0" w:after="150" w:afterAutospacing="0" w:line="500" w:lineRule="atLeast"/>
        <w:ind w:left="0" w:right="0" w:firstLine="532"/>
        <w:jc w:val="left"/>
        <w:rPr>
          <w:rFonts w:hint="eastAsia" w:ascii="宋体" w:hAnsi="宋体" w:eastAsia="宋体" w:cs="宋体"/>
          <w:i w:val="0"/>
          <w:iCs w:val="0"/>
          <w:caps w:val="0"/>
          <w:color w:val="000000"/>
          <w:spacing w:val="0"/>
          <w:sz w:val="14"/>
          <w:szCs w:val="14"/>
        </w:rPr>
      </w:pPr>
      <w:r>
        <w:rPr>
          <w:rFonts w:hint="eastAsia" w:ascii="仿宋" w:hAnsi="仿宋" w:eastAsia="仿宋" w:cs="仿宋"/>
          <w:i w:val="0"/>
          <w:iCs w:val="0"/>
          <w:caps w:val="0"/>
          <w:color w:val="000000"/>
          <w:spacing w:val="0"/>
          <w:kern w:val="0"/>
          <w:sz w:val="28"/>
          <w:szCs w:val="28"/>
          <w:shd w:val="clear" w:fill="FFFFFF"/>
          <w:lang w:val="en-US" w:eastAsia="zh-CN" w:bidi="ar"/>
        </w:rPr>
        <w:t>（5）本项目拟投入的相关专业技术人员需提供《有害生物防治员证12人及最近3个月连续社会社保缴纳证明》；</w:t>
      </w:r>
    </w:p>
    <w:p>
      <w:pPr>
        <w:keepNext w:val="0"/>
        <w:keepLines w:val="0"/>
        <w:widowControl/>
        <w:suppressLineNumbers w:val="0"/>
        <w:shd w:val="clear" w:fill="FFFFFF"/>
        <w:spacing w:before="0" w:beforeAutospacing="0" w:after="150" w:afterAutospacing="0" w:line="500" w:lineRule="atLeast"/>
        <w:ind w:left="0" w:right="0" w:firstLine="532"/>
        <w:jc w:val="left"/>
        <w:rPr>
          <w:rFonts w:hint="eastAsia" w:ascii="宋体" w:hAnsi="宋体" w:eastAsia="宋体" w:cs="宋体"/>
          <w:i w:val="0"/>
          <w:iCs w:val="0"/>
          <w:caps w:val="0"/>
          <w:color w:val="000000"/>
          <w:spacing w:val="0"/>
          <w:sz w:val="14"/>
          <w:szCs w:val="14"/>
        </w:rPr>
      </w:pPr>
      <w:r>
        <w:rPr>
          <w:rFonts w:hint="eastAsia" w:ascii="仿宋" w:hAnsi="仿宋" w:eastAsia="仿宋" w:cs="仿宋"/>
          <w:i w:val="0"/>
          <w:iCs w:val="0"/>
          <w:caps w:val="0"/>
          <w:color w:val="000000"/>
          <w:spacing w:val="0"/>
          <w:kern w:val="0"/>
          <w:sz w:val="28"/>
          <w:szCs w:val="28"/>
          <w:shd w:val="clear" w:fill="FFFFFF"/>
          <w:lang w:val="en-US" w:eastAsia="zh-CN" w:bidi="ar"/>
        </w:rPr>
        <w:t>（6）类似工作业绩证明（合同或成果复印件，均需加盖公章）；</w:t>
      </w:r>
    </w:p>
    <w:p>
      <w:pPr>
        <w:keepNext w:val="0"/>
        <w:keepLines w:val="0"/>
        <w:widowControl/>
        <w:suppressLineNumbers w:val="0"/>
        <w:shd w:val="clear" w:fill="FFFFFF"/>
        <w:spacing w:before="0" w:beforeAutospacing="0" w:after="150" w:afterAutospacing="0" w:line="500" w:lineRule="atLeast"/>
        <w:ind w:left="0" w:right="0" w:firstLine="532"/>
        <w:jc w:val="left"/>
        <w:rPr>
          <w:rFonts w:hint="eastAsia" w:ascii="宋体" w:hAnsi="宋体" w:eastAsia="宋体" w:cs="宋体"/>
          <w:i w:val="0"/>
          <w:iCs w:val="0"/>
          <w:caps w:val="0"/>
          <w:color w:val="000000"/>
          <w:spacing w:val="0"/>
          <w:sz w:val="14"/>
          <w:szCs w:val="14"/>
        </w:rPr>
      </w:pPr>
      <w:r>
        <w:rPr>
          <w:rFonts w:hint="eastAsia" w:ascii="仿宋" w:hAnsi="仿宋" w:eastAsia="仿宋" w:cs="仿宋"/>
          <w:i w:val="0"/>
          <w:iCs w:val="0"/>
          <w:caps w:val="0"/>
          <w:color w:val="000000"/>
          <w:spacing w:val="0"/>
          <w:kern w:val="0"/>
          <w:sz w:val="28"/>
          <w:szCs w:val="28"/>
          <w:shd w:val="clear" w:fill="FFFFFF"/>
          <w:lang w:val="en-US" w:eastAsia="zh-CN" w:bidi="ar"/>
        </w:rPr>
        <w:t>（7）针对本项目的工作方案（工作方案及实施计划安排等）</w:t>
      </w:r>
      <w:r>
        <w:rPr>
          <w:rFonts w:hint="eastAsia" w:ascii="仿宋" w:hAnsi="仿宋" w:eastAsia="仿宋" w:cs="仿宋"/>
          <w:i w:val="0"/>
          <w:iCs w:val="0"/>
          <w:caps w:val="0"/>
          <w:color w:val="000000"/>
          <w:spacing w:val="0"/>
          <w:kern w:val="0"/>
          <w:sz w:val="18"/>
          <w:szCs w:val="18"/>
          <w:shd w:val="clear" w:fill="FFFFFF"/>
          <w:lang w:val="en-US" w:eastAsia="zh-CN" w:bidi="ar"/>
        </w:rPr>
        <w:t>；</w:t>
      </w:r>
    </w:p>
    <w:p>
      <w:pPr>
        <w:keepNext w:val="0"/>
        <w:keepLines w:val="0"/>
        <w:widowControl/>
        <w:suppressLineNumbers w:val="0"/>
        <w:shd w:val="clear" w:fill="FFFFFF"/>
        <w:spacing w:before="0" w:beforeAutospacing="0" w:after="150" w:afterAutospacing="0" w:line="500" w:lineRule="atLeast"/>
        <w:ind w:left="0" w:right="0" w:firstLine="532"/>
        <w:jc w:val="left"/>
        <w:rPr>
          <w:rFonts w:hint="eastAsia" w:ascii="仿宋" w:hAnsi="仿宋" w:eastAsia="仿宋" w:cs="仿宋"/>
          <w:i w:val="0"/>
          <w:iCs w:val="0"/>
          <w:caps w:val="0"/>
          <w:color w:val="000000"/>
          <w:spacing w:val="0"/>
          <w:kern w:val="0"/>
          <w:sz w:val="28"/>
          <w:szCs w:val="28"/>
          <w:shd w:val="clear" w:fill="FFFFFF"/>
          <w:lang w:val="en-US" w:eastAsia="zh-CN" w:bidi="ar"/>
        </w:rPr>
      </w:pPr>
      <w:r>
        <w:rPr>
          <w:rFonts w:hint="eastAsia" w:ascii="仿宋" w:hAnsi="仿宋" w:eastAsia="仿宋" w:cs="仿宋"/>
          <w:i w:val="0"/>
          <w:iCs w:val="0"/>
          <w:caps w:val="0"/>
          <w:color w:val="000000"/>
          <w:spacing w:val="0"/>
          <w:kern w:val="0"/>
          <w:sz w:val="28"/>
          <w:szCs w:val="28"/>
          <w:shd w:val="clear" w:fill="FFFFFF"/>
          <w:lang w:val="en-US" w:eastAsia="zh-CN" w:bidi="ar"/>
        </w:rPr>
        <w:t>（8）使用药物：符合国家、行业标准，“三证”齐全，使用药物在保质期内。须提供每一项“灭鼠除虫白蚁红火蚁”药物制造商有效的农药生产许可证，农药登记许可证，产品标准，（复印件加盖厂商鲜章）。非生产厂家须提供生产厂家针对该项目涉及药物的制造商说明书或质量保证书，原件加盖厂商鲜章。</w:t>
      </w:r>
    </w:p>
    <w:p>
      <w:pPr>
        <w:pStyle w:val="3"/>
        <w:rPr>
          <w:rFonts w:hint="default"/>
          <w:lang w:val="en-US" w:eastAsia="zh-CN"/>
        </w:rPr>
      </w:pPr>
    </w:p>
    <w:p>
      <w:pPr>
        <w:pStyle w:val="3"/>
        <w:rPr>
          <w:rFonts w:hint="eastAsia"/>
          <w:lang w:eastAsia="zh-CN"/>
        </w:rPr>
      </w:pPr>
    </w:p>
    <w:p>
      <w:pPr>
        <w:pStyle w:val="2"/>
        <w:ind w:firstLine="5460" w:firstLineChars="2600"/>
        <w:rPr>
          <w:rFonts w:hint="default"/>
          <w:lang w:val="en-US" w:eastAsia="zh-CN"/>
        </w:rPr>
      </w:pPr>
      <w:r>
        <w:rPr>
          <w:rFonts w:hint="eastAsia"/>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幼圆">
    <w:altName w:val="宋体"/>
    <w:panose1 w:val="0201050906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B505D3"/>
    <w:multiLevelType w:val="singleLevel"/>
    <w:tmpl w:val="30B505D3"/>
    <w:lvl w:ilvl="0" w:tentative="0">
      <w:start w:val="2"/>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